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38A65" w14:textId="77777777" w:rsidR="00C64B1B" w:rsidRDefault="00C64B1B" w:rsidP="00C64B1B">
      <w:pPr>
        <w:jc w:val="center"/>
      </w:pP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4"/>
        <w:gridCol w:w="1843"/>
        <w:gridCol w:w="3686"/>
        <w:gridCol w:w="3118"/>
        <w:gridCol w:w="5045"/>
      </w:tblGrid>
      <w:tr w:rsidR="00A06425" w:rsidRPr="00A06425" w14:paraId="52C7CABF" w14:textId="77777777" w:rsidTr="00A06425">
        <w:tc>
          <w:tcPr>
            <w:tcW w:w="15388" w:type="dxa"/>
            <w:gridSpan w:val="6"/>
            <w:vAlign w:val="center"/>
          </w:tcPr>
          <w:p w14:paraId="4FF05A5F" w14:textId="1837E9FC" w:rsidR="00A06425" w:rsidRPr="00A06425" w:rsidRDefault="00A06425" w:rsidP="00B871B6">
            <w:pPr>
              <w:spacing w:before="120" w:after="120"/>
              <w:rPr>
                <w:rFonts w:asciiTheme="minorHAnsi" w:hAnsiTheme="minorHAnsi" w:cstheme="minorHAnsi"/>
                <w:b/>
                <w:i/>
                <w:sz w:val="22"/>
                <w:szCs w:val="22"/>
              </w:rPr>
            </w:pPr>
            <w:r w:rsidRPr="00A06425">
              <w:rPr>
                <w:rFonts w:asciiTheme="minorHAnsi" w:hAnsiTheme="minorHAnsi" w:cstheme="minorHAnsi"/>
                <w:b/>
                <w:i/>
                <w:sz w:val="22"/>
                <w:szCs w:val="22"/>
              </w:rPr>
              <w:t>Nazwa dokumentu:</w:t>
            </w:r>
            <w:r w:rsidR="008F49FE">
              <w:rPr>
                <w:rFonts w:asciiTheme="minorHAnsi" w:hAnsiTheme="minorHAnsi" w:cstheme="minorHAnsi"/>
                <w:b/>
                <w:i/>
                <w:sz w:val="22"/>
                <w:szCs w:val="22"/>
              </w:rPr>
              <w:t xml:space="preserve"> </w:t>
            </w:r>
            <w:r w:rsidR="008F49FE" w:rsidRPr="1B313176">
              <w:rPr>
                <w:rFonts w:asciiTheme="minorHAnsi" w:eastAsiaTheme="minorEastAsia" w:hAnsiTheme="minorHAnsi" w:cstheme="minorBidi"/>
                <w:sz w:val="22"/>
                <w:szCs w:val="22"/>
              </w:rPr>
              <w:t>opis założeń przedsięwzięcia informatycznego pn.</w:t>
            </w:r>
            <w:r w:rsidR="008F49FE" w:rsidRPr="1B313176">
              <w:rPr>
                <w:rFonts w:asciiTheme="minorHAnsi" w:eastAsiaTheme="minorEastAsia" w:hAnsiTheme="minorHAnsi" w:cstheme="minorBidi"/>
                <w:b/>
                <w:bCs/>
                <w:i/>
                <w:iCs/>
                <w:sz w:val="22"/>
                <w:szCs w:val="22"/>
              </w:rPr>
              <w:t xml:space="preserve"> </w:t>
            </w:r>
            <w:r w:rsidR="008F49FE" w:rsidRPr="1B313176">
              <w:rPr>
                <w:rFonts w:asciiTheme="minorHAnsi" w:eastAsiaTheme="minorEastAsia" w:hAnsiTheme="minorHAnsi" w:cstheme="minorBidi"/>
                <w:b/>
                <w:bCs/>
                <w:sz w:val="22"/>
                <w:szCs w:val="22"/>
              </w:rPr>
              <w:t xml:space="preserve">„e-KIDL” </w:t>
            </w:r>
          </w:p>
        </w:tc>
      </w:tr>
      <w:tr w:rsidR="00A06425" w:rsidRPr="00A06425" w14:paraId="441D0054" w14:textId="77777777" w:rsidTr="00F7470A">
        <w:tc>
          <w:tcPr>
            <w:tcW w:w="562" w:type="dxa"/>
            <w:vAlign w:val="center"/>
          </w:tcPr>
          <w:p w14:paraId="55B9F23A" w14:textId="77777777" w:rsidR="00A06425" w:rsidRPr="00A06425" w:rsidRDefault="00A06425" w:rsidP="004D086F">
            <w:pPr>
              <w:jc w:val="center"/>
              <w:rPr>
                <w:rFonts w:asciiTheme="minorHAnsi" w:hAnsiTheme="minorHAnsi" w:cstheme="minorHAnsi"/>
                <w:b/>
                <w:sz w:val="22"/>
                <w:szCs w:val="22"/>
              </w:rPr>
            </w:pPr>
            <w:r>
              <w:rPr>
                <w:rFonts w:asciiTheme="minorHAnsi" w:hAnsiTheme="minorHAnsi" w:cstheme="minorHAnsi"/>
                <w:b/>
                <w:sz w:val="22"/>
                <w:szCs w:val="22"/>
              </w:rPr>
              <w:t>L</w:t>
            </w:r>
            <w:r w:rsidRPr="00A06425">
              <w:rPr>
                <w:rFonts w:asciiTheme="minorHAnsi" w:hAnsiTheme="minorHAnsi" w:cstheme="minorHAnsi"/>
                <w:b/>
                <w:sz w:val="22"/>
                <w:szCs w:val="22"/>
              </w:rPr>
              <w:t>p.</w:t>
            </w:r>
          </w:p>
        </w:tc>
        <w:tc>
          <w:tcPr>
            <w:tcW w:w="1134" w:type="dxa"/>
            <w:vAlign w:val="center"/>
          </w:tcPr>
          <w:p w14:paraId="598E8A0A" w14:textId="77777777"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Organ wnoszący uwagi</w:t>
            </w:r>
          </w:p>
        </w:tc>
        <w:tc>
          <w:tcPr>
            <w:tcW w:w="1843" w:type="dxa"/>
            <w:vAlign w:val="center"/>
          </w:tcPr>
          <w:p w14:paraId="4C527BD9" w14:textId="77777777"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Jednostka redakcyjna, do której wnoszone są uwagi</w:t>
            </w:r>
          </w:p>
        </w:tc>
        <w:tc>
          <w:tcPr>
            <w:tcW w:w="3686" w:type="dxa"/>
            <w:vAlign w:val="center"/>
          </w:tcPr>
          <w:p w14:paraId="136601FC" w14:textId="77777777"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Treść uwagi</w:t>
            </w:r>
          </w:p>
        </w:tc>
        <w:tc>
          <w:tcPr>
            <w:tcW w:w="3118" w:type="dxa"/>
            <w:vAlign w:val="center"/>
          </w:tcPr>
          <w:p w14:paraId="4B66E555" w14:textId="77777777"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Propozycja zmian zapisu</w:t>
            </w:r>
          </w:p>
        </w:tc>
        <w:tc>
          <w:tcPr>
            <w:tcW w:w="5045" w:type="dxa"/>
            <w:vAlign w:val="center"/>
          </w:tcPr>
          <w:p w14:paraId="4578BDFA" w14:textId="77777777" w:rsidR="00A06425" w:rsidRPr="00A06425" w:rsidRDefault="00A06425" w:rsidP="00A06425">
            <w:pPr>
              <w:jc w:val="center"/>
              <w:rPr>
                <w:rFonts w:asciiTheme="minorHAnsi" w:hAnsiTheme="minorHAnsi" w:cstheme="minorHAnsi"/>
                <w:b/>
                <w:sz w:val="22"/>
                <w:szCs w:val="22"/>
              </w:rPr>
            </w:pPr>
            <w:r w:rsidRPr="00A06425">
              <w:rPr>
                <w:rFonts w:asciiTheme="minorHAnsi" w:hAnsiTheme="minorHAnsi" w:cstheme="minorHAnsi"/>
                <w:b/>
                <w:sz w:val="22"/>
                <w:szCs w:val="22"/>
              </w:rPr>
              <w:t>Odniesienie do uwagi</w:t>
            </w:r>
          </w:p>
        </w:tc>
      </w:tr>
      <w:tr w:rsidR="00A06425" w:rsidRPr="00A06425" w14:paraId="6ED3C9B4" w14:textId="77777777" w:rsidTr="00F7470A">
        <w:tc>
          <w:tcPr>
            <w:tcW w:w="562" w:type="dxa"/>
          </w:tcPr>
          <w:p w14:paraId="71FD0374" w14:textId="1C254590" w:rsidR="00A06425" w:rsidRPr="00A06425" w:rsidRDefault="002B3AEE" w:rsidP="00A06425">
            <w:pPr>
              <w:spacing w:before="120" w:after="120"/>
              <w:jc w:val="center"/>
              <w:rPr>
                <w:rFonts w:asciiTheme="minorHAnsi" w:hAnsiTheme="minorHAnsi" w:cstheme="minorHAnsi"/>
                <w:b/>
                <w:sz w:val="22"/>
                <w:szCs w:val="22"/>
              </w:rPr>
            </w:pPr>
            <w:r>
              <w:rPr>
                <w:rFonts w:asciiTheme="minorHAnsi" w:hAnsiTheme="minorHAnsi" w:cstheme="minorHAnsi"/>
                <w:b/>
                <w:sz w:val="22"/>
                <w:szCs w:val="22"/>
              </w:rPr>
              <w:t>1</w:t>
            </w:r>
          </w:p>
        </w:tc>
        <w:tc>
          <w:tcPr>
            <w:tcW w:w="1134" w:type="dxa"/>
          </w:tcPr>
          <w:p w14:paraId="127A7E4B" w14:textId="77777777" w:rsidR="00A06425" w:rsidRPr="00A06425" w:rsidRDefault="00A06425" w:rsidP="004D086F">
            <w:pPr>
              <w:spacing w:before="60" w:after="60"/>
              <w:jc w:val="center"/>
              <w:rPr>
                <w:rFonts w:asciiTheme="minorHAnsi" w:hAnsiTheme="minorHAnsi" w:cstheme="minorHAnsi"/>
                <w:b/>
                <w:sz w:val="22"/>
                <w:szCs w:val="22"/>
              </w:rPr>
            </w:pPr>
          </w:p>
        </w:tc>
        <w:tc>
          <w:tcPr>
            <w:tcW w:w="1843" w:type="dxa"/>
          </w:tcPr>
          <w:p w14:paraId="004BAE2F" w14:textId="77777777" w:rsidR="00A06425" w:rsidRPr="00A06425" w:rsidRDefault="00A06425" w:rsidP="004D086F">
            <w:pPr>
              <w:jc w:val="center"/>
              <w:rPr>
                <w:rFonts w:asciiTheme="minorHAnsi" w:hAnsiTheme="minorHAnsi" w:cstheme="minorHAnsi"/>
                <w:sz w:val="22"/>
                <w:szCs w:val="22"/>
              </w:rPr>
            </w:pPr>
          </w:p>
        </w:tc>
        <w:tc>
          <w:tcPr>
            <w:tcW w:w="3686" w:type="dxa"/>
          </w:tcPr>
          <w:p w14:paraId="0391120A" w14:textId="77777777" w:rsidR="00813977" w:rsidRPr="00813977" w:rsidRDefault="00813977" w:rsidP="00813977">
            <w:pPr>
              <w:jc w:val="center"/>
              <w:rPr>
                <w:rFonts w:asciiTheme="minorHAnsi" w:hAnsiTheme="minorHAnsi" w:cstheme="minorHAnsi"/>
                <w:sz w:val="22"/>
                <w:szCs w:val="22"/>
              </w:rPr>
            </w:pPr>
            <w:r w:rsidRPr="00813977">
              <w:rPr>
                <w:rFonts w:asciiTheme="minorHAnsi" w:hAnsiTheme="minorHAnsi" w:cstheme="minorHAnsi"/>
                <w:sz w:val="22"/>
                <w:szCs w:val="22"/>
              </w:rPr>
              <w:t xml:space="preserve">1. Jakiej skali ruchu (żądania / </w:t>
            </w:r>
            <w:proofErr w:type="spellStart"/>
            <w:r w:rsidRPr="00813977">
              <w:rPr>
                <w:rFonts w:asciiTheme="minorHAnsi" w:hAnsiTheme="minorHAnsi" w:cstheme="minorHAnsi"/>
                <w:sz w:val="22"/>
                <w:szCs w:val="22"/>
              </w:rPr>
              <w:t>sek</w:t>
            </w:r>
            <w:proofErr w:type="spellEnd"/>
            <w:r w:rsidRPr="00813977">
              <w:rPr>
                <w:rFonts w:asciiTheme="minorHAnsi" w:hAnsiTheme="minorHAnsi" w:cstheme="minorHAnsi"/>
                <w:sz w:val="22"/>
                <w:szCs w:val="22"/>
              </w:rPr>
              <w:t>) należy spodziewać się do systemu Węzeł Krajowy w związku z realizacją projektu?</w:t>
            </w:r>
          </w:p>
          <w:p w14:paraId="6F6DB5EA" w14:textId="77777777" w:rsidR="00813977" w:rsidRPr="00813977" w:rsidRDefault="00813977" w:rsidP="00813977">
            <w:pPr>
              <w:jc w:val="center"/>
              <w:rPr>
                <w:rFonts w:asciiTheme="minorHAnsi" w:hAnsiTheme="minorHAnsi" w:cstheme="minorHAnsi"/>
                <w:sz w:val="22"/>
                <w:szCs w:val="22"/>
              </w:rPr>
            </w:pPr>
            <w:r w:rsidRPr="00813977">
              <w:rPr>
                <w:rFonts w:asciiTheme="minorHAnsi" w:hAnsiTheme="minorHAnsi" w:cstheme="minorHAnsi"/>
                <w:sz w:val="22"/>
                <w:szCs w:val="22"/>
              </w:rPr>
              <w:t>2. Proszę o określenie pik-ów ruchu dla systemu Węzeł Krajowy.</w:t>
            </w:r>
          </w:p>
          <w:p w14:paraId="7265F79F" w14:textId="5EE8B942" w:rsidR="00A06425" w:rsidRPr="00A06425" w:rsidRDefault="00813977" w:rsidP="00813977">
            <w:pPr>
              <w:jc w:val="center"/>
              <w:rPr>
                <w:rFonts w:asciiTheme="minorHAnsi" w:hAnsiTheme="minorHAnsi" w:cstheme="minorHAnsi"/>
                <w:sz w:val="22"/>
                <w:szCs w:val="22"/>
              </w:rPr>
            </w:pPr>
            <w:r w:rsidRPr="00813977">
              <w:rPr>
                <w:rFonts w:asciiTheme="minorHAnsi" w:hAnsiTheme="minorHAnsi" w:cstheme="minorHAnsi"/>
                <w:sz w:val="22"/>
                <w:szCs w:val="22"/>
              </w:rPr>
              <w:t>3. Proszę o wskazanie kalendarza zdarzeń, które będą generować zwiększony ruch do systemu Węzeł Krajowy.</w:t>
            </w:r>
          </w:p>
        </w:tc>
        <w:tc>
          <w:tcPr>
            <w:tcW w:w="3118" w:type="dxa"/>
          </w:tcPr>
          <w:p w14:paraId="4CD97198" w14:textId="2917FE01" w:rsidR="00A06425" w:rsidRPr="00A06425" w:rsidRDefault="00A06425" w:rsidP="004D086F">
            <w:pPr>
              <w:jc w:val="center"/>
              <w:rPr>
                <w:rFonts w:asciiTheme="minorHAnsi" w:hAnsiTheme="minorHAnsi" w:cstheme="minorHAnsi"/>
                <w:sz w:val="22"/>
                <w:szCs w:val="22"/>
              </w:rPr>
            </w:pPr>
          </w:p>
        </w:tc>
        <w:tc>
          <w:tcPr>
            <w:tcW w:w="5045" w:type="dxa"/>
          </w:tcPr>
          <w:p w14:paraId="4CE7AC8F" w14:textId="2B4FA274" w:rsidR="00A06425" w:rsidRPr="00A06425" w:rsidRDefault="00F7470A" w:rsidP="004D086F">
            <w:pPr>
              <w:jc w:val="center"/>
              <w:rPr>
                <w:rFonts w:asciiTheme="minorHAnsi" w:hAnsiTheme="minorHAnsi" w:cstheme="minorHAnsi"/>
                <w:sz w:val="22"/>
                <w:szCs w:val="22"/>
              </w:rPr>
            </w:pPr>
            <w:r>
              <w:t>Uwaga została w pełni uwzględniona w tabeli „Lista przepływów” (wiersz 15, dotyczący integracji Węzła Krajowego z Portalem KIDL). W opisie uwzględniono cel komunikacji, wskazując, że diagności będą logować się do systemu ZSRC przy wykorzystaniu Węzła Krajowego w celu autoryzacji tożsamości. Określono parametry bazowe ruchu na poziomie 0,032 rozpoczętego logowania na sekundę oraz piki w przedziale od 0,5 do 0,75 rozpoczętego logowania na sekundę. Wprowadzono również opisaną metodykę uwzględniającą scenariusze (typowy, wzmożony, krytyczny) oraz kalendarz zdarzeń generujących skoki obciążenia (m.in. terminy poboru składek, okresy rekrutacyjne, masowa wysyłka komunikatów czy awarie systemu).</w:t>
            </w:r>
          </w:p>
        </w:tc>
      </w:tr>
      <w:tr w:rsidR="004850C2" w:rsidRPr="00A06425" w14:paraId="71EC7434" w14:textId="77777777" w:rsidTr="00F7470A">
        <w:tc>
          <w:tcPr>
            <w:tcW w:w="562" w:type="dxa"/>
          </w:tcPr>
          <w:p w14:paraId="60A58E9E" w14:textId="2751388E" w:rsidR="004850C2" w:rsidRPr="00A06425" w:rsidRDefault="002B3AEE" w:rsidP="00A06425">
            <w:pPr>
              <w:spacing w:before="120" w:after="120"/>
              <w:jc w:val="center"/>
              <w:rPr>
                <w:rFonts w:asciiTheme="minorHAnsi" w:hAnsiTheme="minorHAnsi" w:cstheme="minorHAnsi"/>
                <w:b/>
                <w:sz w:val="22"/>
                <w:szCs w:val="22"/>
              </w:rPr>
            </w:pPr>
            <w:r>
              <w:rPr>
                <w:rFonts w:asciiTheme="minorHAnsi" w:hAnsiTheme="minorHAnsi" w:cstheme="minorHAnsi"/>
                <w:b/>
                <w:sz w:val="22"/>
                <w:szCs w:val="22"/>
              </w:rPr>
              <w:t>2</w:t>
            </w:r>
          </w:p>
        </w:tc>
        <w:tc>
          <w:tcPr>
            <w:tcW w:w="1134" w:type="dxa"/>
          </w:tcPr>
          <w:p w14:paraId="4A5D2E19" w14:textId="77777777" w:rsidR="004850C2" w:rsidRPr="00A06425" w:rsidRDefault="004850C2" w:rsidP="004D086F">
            <w:pPr>
              <w:spacing w:before="60" w:after="60"/>
              <w:jc w:val="center"/>
              <w:rPr>
                <w:rFonts w:asciiTheme="minorHAnsi" w:hAnsiTheme="minorHAnsi" w:cstheme="minorHAnsi"/>
                <w:b/>
                <w:sz w:val="22"/>
                <w:szCs w:val="22"/>
              </w:rPr>
            </w:pPr>
          </w:p>
        </w:tc>
        <w:tc>
          <w:tcPr>
            <w:tcW w:w="1843" w:type="dxa"/>
          </w:tcPr>
          <w:p w14:paraId="73BE41BB" w14:textId="341824B7" w:rsidR="004850C2" w:rsidRPr="00813977" w:rsidRDefault="004850C2" w:rsidP="00813977">
            <w:pPr>
              <w:jc w:val="center"/>
              <w:rPr>
                <w:rFonts w:asciiTheme="minorHAnsi" w:hAnsiTheme="minorHAnsi" w:cstheme="minorHAnsi"/>
                <w:sz w:val="22"/>
                <w:szCs w:val="22"/>
              </w:rPr>
            </w:pPr>
          </w:p>
        </w:tc>
        <w:tc>
          <w:tcPr>
            <w:tcW w:w="3686" w:type="dxa"/>
          </w:tcPr>
          <w:p w14:paraId="7D17663B" w14:textId="2B0294D5" w:rsidR="004850C2" w:rsidRPr="004423B3" w:rsidRDefault="004850C2" w:rsidP="004850C2">
            <w:pPr>
              <w:jc w:val="center"/>
              <w:rPr>
                <w:rFonts w:asciiTheme="minorHAnsi" w:hAnsiTheme="minorHAnsi" w:cstheme="minorHAnsi"/>
                <w:sz w:val="22"/>
                <w:szCs w:val="22"/>
              </w:rPr>
            </w:pPr>
            <w:r w:rsidRPr="004423B3">
              <w:rPr>
                <w:rFonts w:asciiTheme="minorHAnsi" w:hAnsiTheme="minorHAnsi" w:cstheme="minorHAnsi"/>
                <w:sz w:val="22"/>
                <w:szCs w:val="22"/>
              </w:rPr>
              <w:t xml:space="preserve">PWZ diagnosty zaplanowany jest do wdrożenia na 03.09. </w:t>
            </w:r>
            <w:r w:rsidR="004423B3" w:rsidRPr="004423B3">
              <w:rPr>
                <w:rFonts w:asciiTheme="minorHAnsi" w:hAnsiTheme="minorHAnsi" w:cstheme="minorHAnsi"/>
                <w:sz w:val="22"/>
                <w:szCs w:val="22"/>
              </w:rPr>
              <w:t>Prosimy o potwierdzenia czy</w:t>
            </w:r>
            <w:r w:rsidRPr="004423B3">
              <w:rPr>
                <w:rFonts w:asciiTheme="minorHAnsi" w:hAnsiTheme="minorHAnsi" w:cstheme="minorHAnsi"/>
                <w:sz w:val="22"/>
                <w:szCs w:val="22"/>
              </w:rPr>
              <w:t xml:space="preserve"> </w:t>
            </w:r>
            <w:r w:rsidR="004423B3" w:rsidRPr="004423B3">
              <w:rPr>
                <w:rFonts w:asciiTheme="minorHAnsi" w:hAnsiTheme="minorHAnsi" w:cstheme="minorHAnsi"/>
                <w:sz w:val="22"/>
                <w:szCs w:val="22"/>
              </w:rPr>
              <w:t>są</w:t>
            </w:r>
            <w:r w:rsidRPr="004423B3">
              <w:rPr>
                <w:rFonts w:asciiTheme="minorHAnsi" w:hAnsiTheme="minorHAnsi" w:cstheme="minorHAnsi"/>
                <w:sz w:val="22"/>
                <w:szCs w:val="22"/>
              </w:rPr>
              <w:t xml:space="preserve"> planowane zmiany względem obecnie realizowanej implementacji. </w:t>
            </w:r>
          </w:p>
          <w:p w14:paraId="64EC9C2A" w14:textId="5CEAE6EE" w:rsidR="004850C2" w:rsidRPr="00813977" w:rsidRDefault="004423B3" w:rsidP="004850C2">
            <w:pPr>
              <w:jc w:val="center"/>
              <w:rPr>
                <w:rFonts w:asciiTheme="minorHAnsi" w:hAnsiTheme="minorHAnsi" w:cstheme="minorHAnsi"/>
                <w:sz w:val="22"/>
                <w:szCs w:val="22"/>
              </w:rPr>
            </w:pPr>
            <w:r>
              <w:rPr>
                <w:rFonts w:asciiTheme="minorHAnsi" w:hAnsiTheme="minorHAnsi" w:cstheme="minorHAnsi"/>
                <w:sz w:val="22"/>
                <w:szCs w:val="22"/>
              </w:rPr>
              <w:t xml:space="preserve">Trwają prace nad </w:t>
            </w:r>
            <w:r w:rsidRPr="004423B3">
              <w:rPr>
                <w:rFonts w:asciiTheme="minorHAnsi" w:hAnsiTheme="minorHAnsi" w:cstheme="minorHAnsi"/>
                <w:sz w:val="22"/>
                <w:szCs w:val="22"/>
              </w:rPr>
              <w:t>Rozporządzenie</w:t>
            </w:r>
            <w:r>
              <w:rPr>
                <w:rFonts w:asciiTheme="minorHAnsi" w:hAnsiTheme="minorHAnsi" w:cstheme="minorHAnsi"/>
                <w:sz w:val="22"/>
                <w:szCs w:val="22"/>
              </w:rPr>
              <w:t>m</w:t>
            </w:r>
            <w:r w:rsidRPr="004423B3">
              <w:rPr>
                <w:rFonts w:asciiTheme="minorHAnsi" w:hAnsiTheme="minorHAnsi" w:cstheme="minorHAnsi"/>
                <w:sz w:val="22"/>
                <w:szCs w:val="22"/>
              </w:rPr>
              <w:t xml:space="preserve"> Rady Ministrów w sprawie zakresu danych i wykazu rejestrów publicznych oraz systemów teleinformatycznych podmiotów publicznych, z których użytkownik aplikacji mObywatel może pobrać dane</w:t>
            </w:r>
            <w:r>
              <w:rPr>
                <w:rFonts w:asciiTheme="minorHAnsi" w:hAnsiTheme="minorHAnsi" w:cstheme="minorHAnsi"/>
                <w:sz w:val="22"/>
                <w:szCs w:val="22"/>
              </w:rPr>
              <w:t>.</w:t>
            </w:r>
          </w:p>
        </w:tc>
        <w:tc>
          <w:tcPr>
            <w:tcW w:w="3118" w:type="dxa"/>
          </w:tcPr>
          <w:p w14:paraId="642FF390" w14:textId="77777777" w:rsidR="004850C2" w:rsidRPr="00A06425" w:rsidRDefault="004850C2" w:rsidP="004D086F">
            <w:pPr>
              <w:jc w:val="center"/>
              <w:rPr>
                <w:rFonts w:asciiTheme="minorHAnsi" w:hAnsiTheme="minorHAnsi" w:cstheme="minorHAnsi"/>
                <w:sz w:val="22"/>
                <w:szCs w:val="22"/>
              </w:rPr>
            </w:pPr>
          </w:p>
        </w:tc>
        <w:tc>
          <w:tcPr>
            <w:tcW w:w="5045" w:type="dxa"/>
          </w:tcPr>
          <w:p w14:paraId="1E9FC244" w14:textId="26FFB007" w:rsidR="004850C2" w:rsidRPr="00F7470A" w:rsidRDefault="00F7470A" w:rsidP="00F7470A">
            <w:r>
              <w:t xml:space="preserve">Uwaga została uwzględniona w tabeli „Lista przepływów” (wiersz 7, dotyczący Hurtowni Danych i systemu mObywatel). Do opisu zakresu wymienianych danych wprowadzono oficjalne potwierdzenie, że wdrażane rozwiązanie nie przewiduje zmian architektonicznych ani funkcjonalnych względem obecnie realizowanej implementacji dokumentu PWZ diagnosty, zaplanowanej do wdrożenia na 3 września 2026 r.. Ponadto w sekcji „Otoczenie prawne” (wiersz 19) dodano właściwe rozporządzenie Rady Ministrów regulujące kwestie pobierania danych przez aplikację mObywatel. </w:t>
            </w:r>
            <w:bookmarkStart w:id="0" w:name="_GoBack"/>
            <w:bookmarkEnd w:id="0"/>
          </w:p>
        </w:tc>
      </w:tr>
    </w:tbl>
    <w:p w14:paraId="72A452E9" w14:textId="77777777" w:rsidR="00C64B1B" w:rsidRDefault="00C64B1B" w:rsidP="00C64B1B">
      <w:pPr>
        <w:jc w:val="center"/>
      </w:pPr>
    </w:p>
    <w:sectPr w:rsidR="00C64B1B" w:rsidSect="00A06425">
      <w:pgSz w:w="16838" w:h="11906" w:orient="landscape"/>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34258"/>
    <w:rsid w:val="00140BE8"/>
    <w:rsid w:val="0019648E"/>
    <w:rsid w:val="002715B2"/>
    <w:rsid w:val="002B3AEE"/>
    <w:rsid w:val="003124D1"/>
    <w:rsid w:val="003B4105"/>
    <w:rsid w:val="004423B3"/>
    <w:rsid w:val="004850C2"/>
    <w:rsid w:val="004D086F"/>
    <w:rsid w:val="005F6527"/>
    <w:rsid w:val="006705EC"/>
    <w:rsid w:val="006E16E9"/>
    <w:rsid w:val="00807385"/>
    <w:rsid w:val="00813977"/>
    <w:rsid w:val="0082201C"/>
    <w:rsid w:val="008F49FE"/>
    <w:rsid w:val="00944932"/>
    <w:rsid w:val="009E5FDB"/>
    <w:rsid w:val="00A06425"/>
    <w:rsid w:val="00AC7796"/>
    <w:rsid w:val="00B06676"/>
    <w:rsid w:val="00B871B6"/>
    <w:rsid w:val="00C64B1B"/>
    <w:rsid w:val="00CD5EB0"/>
    <w:rsid w:val="00E14C33"/>
    <w:rsid w:val="00F7470A"/>
    <w:rsid w:val="00FC1E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9C44A"/>
  <w15:chartTrackingRefBased/>
  <w15:docId w15:val="{2379E184-FF6E-46FA-BB13-F6EF6AC0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14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869bc03-0068-40da-a54a-3674aefa3804}" enabled="1" method="Privileged" siteId="{6b5e84bc-ccb4-4457-85a0-05c2a812f6c1}"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303</Words>
  <Characters>1820</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Waclaw Skowron</cp:lastModifiedBy>
  <cp:revision>4</cp:revision>
  <dcterms:created xsi:type="dcterms:W3CDTF">2026-07-22T11:36:00Z</dcterms:created>
  <dcterms:modified xsi:type="dcterms:W3CDTF">2026-07-28T16:49:00Z</dcterms:modified>
</cp:coreProperties>
</file>